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E242" w14:textId="77777777" w:rsidR="00F137BB" w:rsidRDefault="00F137BB" w:rsidP="007C7781">
      <w:pPr>
        <w:pStyle w:val="Titel"/>
        <w:rPr>
          <w:rStyle w:val="Overskrift2Tegn"/>
          <w:b w:val="0"/>
          <w:bCs w:val="0"/>
          <w:color w:val="17365D" w:themeColor="text2" w:themeShade="BF"/>
          <w:sz w:val="52"/>
          <w:szCs w:val="52"/>
        </w:rPr>
      </w:pPr>
      <w:bookmarkStart w:id="0" w:name="_GoBack"/>
      <w:bookmarkEnd w:id="0"/>
    </w:p>
    <w:p w14:paraId="1ED6CB28" w14:textId="77777777" w:rsidR="00F137BB" w:rsidRPr="00FD0748" w:rsidRDefault="00F137BB" w:rsidP="00F137B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</w:pPr>
      <w:r w:rsidRPr="00FD0748"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  <w:t>Værktøj udviklet af SDU RIO – Øvelse til studerende</w:t>
      </w:r>
      <w:r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  <w:t xml:space="preserve"> om kompetencer gennem fokus på succesoplevelser</w:t>
      </w:r>
    </w:p>
    <w:p w14:paraId="313C7474" w14:textId="77777777" w:rsidR="00F137BB" w:rsidRDefault="00F137BB" w:rsidP="00F137BB">
      <w:pPr>
        <w:rPr>
          <w:sz w:val="24"/>
          <w:szCs w:val="24"/>
        </w:rPr>
      </w:pPr>
    </w:p>
    <w:p w14:paraId="774C6572" w14:textId="77777777" w:rsidR="00F137BB" w:rsidRPr="00FD0748" w:rsidRDefault="00F137BB" w:rsidP="00F137BB">
      <w:pPr>
        <w:rPr>
          <w:sz w:val="24"/>
          <w:szCs w:val="24"/>
        </w:rPr>
      </w:pPr>
      <w:r w:rsidRPr="00FD0748">
        <w:rPr>
          <w:sz w:val="24"/>
          <w:szCs w:val="24"/>
        </w:rPr>
        <w:t xml:space="preserve">Dette værktøj er udviklet af SDU RIO, </w:t>
      </w:r>
      <w:r>
        <w:rPr>
          <w:sz w:val="24"/>
          <w:szCs w:val="24"/>
        </w:rPr>
        <w:t>og har fokus på at hjælpe studerende med at afklare kompetencer individuelt og gennem gensidige interviews. Øvelsen tager udgangspunkt i studerendes beskrivelser af succesoplevelser, hvor de to og to interviewer hinanden, og dermed træner både interview som metode, og bidrager til hinandens kompetenceafklaring.</w:t>
      </w:r>
    </w:p>
    <w:p w14:paraId="48DCC86A" w14:textId="77777777" w:rsidR="00F137BB" w:rsidRPr="00FD0748" w:rsidRDefault="00F137BB" w:rsidP="00F137BB">
      <w:pPr>
        <w:rPr>
          <w:sz w:val="24"/>
          <w:szCs w:val="24"/>
        </w:rPr>
      </w:pPr>
      <w:r w:rsidRPr="00FD0748">
        <w:rPr>
          <w:sz w:val="24"/>
          <w:szCs w:val="24"/>
        </w:rPr>
        <w:t xml:space="preserve">Som underviser kan du vælge at bruge værktøjet i forbindelse med kompetenceafklaring i dit fag, </w:t>
      </w:r>
      <w:r>
        <w:rPr>
          <w:sz w:val="24"/>
          <w:szCs w:val="24"/>
        </w:rPr>
        <w:t xml:space="preserve">og hvis du finder det relevant at træne de studerende i interview som metode ud fra et fokus, som er tæt på dem. </w:t>
      </w:r>
    </w:p>
    <w:p w14:paraId="59016A0A" w14:textId="77777777" w:rsidR="00F137BB" w:rsidRPr="00FD0748" w:rsidRDefault="00F137BB" w:rsidP="00F137BB">
      <w:pPr>
        <w:rPr>
          <w:sz w:val="24"/>
          <w:szCs w:val="24"/>
        </w:rPr>
      </w:pPr>
      <w:r w:rsidRPr="00FD0748">
        <w:rPr>
          <w:sz w:val="24"/>
          <w:szCs w:val="24"/>
        </w:rPr>
        <w:t>Værktøjet er gengivet nedenfor</w:t>
      </w:r>
    </w:p>
    <w:p w14:paraId="264DF22D" w14:textId="77777777" w:rsidR="00F137BB" w:rsidRDefault="00F137BB" w:rsidP="007C7781">
      <w:pPr>
        <w:pStyle w:val="Titel"/>
        <w:rPr>
          <w:rStyle w:val="Overskrift2Tegn"/>
          <w:b w:val="0"/>
          <w:bCs w:val="0"/>
          <w:color w:val="17365D" w:themeColor="text2" w:themeShade="BF"/>
          <w:sz w:val="52"/>
          <w:szCs w:val="52"/>
        </w:rPr>
      </w:pPr>
    </w:p>
    <w:p w14:paraId="17507B72" w14:textId="77777777" w:rsidR="007C7781" w:rsidRPr="007C7781" w:rsidRDefault="007C7781" w:rsidP="007C7781">
      <w:pPr>
        <w:pStyle w:val="Titel"/>
        <w:rPr>
          <w:rStyle w:val="Overskrift2Tegn"/>
          <w:b w:val="0"/>
          <w:bCs w:val="0"/>
          <w:color w:val="17365D" w:themeColor="text2" w:themeShade="BF"/>
          <w:sz w:val="52"/>
          <w:szCs w:val="52"/>
        </w:rPr>
      </w:pPr>
      <w:r w:rsidRPr="007C7781">
        <w:rPr>
          <w:rStyle w:val="Overskrift2Tegn"/>
          <w:b w:val="0"/>
          <w:bCs w:val="0"/>
          <w:color w:val="17365D" w:themeColor="text2" w:themeShade="BF"/>
          <w:sz w:val="52"/>
          <w:szCs w:val="52"/>
        </w:rPr>
        <w:t xml:space="preserve">Succesoplevelsen </w:t>
      </w:r>
      <w:r w:rsidR="00FC2606">
        <w:rPr>
          <w:rStyle w:val="Overskrift2Tegn"/>
          <w:b w:val="0"/>
          <w:bCs w:val="0"/>
          <w:color w:val="17365D" w:themeColor="text2" w:themeShade="BF"/>
          <w:sz w:val="52"/>
          <w:szCs w:val="52"/>
        </w:rPr>
        <w:t>–</w:t>
      </w:r>
      <w:r w:rsidRPr="007C7781">
        <w:rPr>
          <w:rStyle w:val="Overskrift2Tegn"/>
          <w:b w:val="0"/>
          <w:bCs w:val="0"/>
          <w:color w:val="17365D" w:themeColor="text2" w:themeShade="BF"/>
          <w:sz w:val="52"/>
          <w:szCs w:val="52"/>
        </w:rPr>
        <w:t xml:space="preserve"> kompetenceafklaring</w:t>
      </w:r>
    </w:p>
    <w:p w14:paraId="059C88C1" w14:textId="77777777" w:rsidR="007C7781" w:rsidRDefault="007C7781" w:rsidP="00BF7C38">
      <w:r w:rsidRPr="0078570D">
        <w:rPr>
          <w:rStyle w:val="Overskrift2Tegn"/>
        </w:rPr>
        <w:t>Formål</w:t>
      </w:r>
      <w:r w:rsidRPr="008E133A">
        <w:rPr>
          <w:b/>
        </w:rPr>
        <w:t>:</w:t>
      </w:r>
      <w:r>
        <w:t xml:space="preserve"> Øvelsen har til formål at sætte ord på dine kompetencer. Øvelsen tager udgangspunkt i en oplevelse</w:t>
      </w:r>
      <w:r w:rsidR="00B550AD">
        <w:t>,</w:t>
      </w:r>
      <w:r>
        <w:t xml:space="preserve"> du kan se tilbage på og husker som en succes. Altså en oplevelse</w:t>
      </w:r>
      <w:r w:rsidR="00B550AD">
        <w:t>,</w:t>
      </w:r>
      <w:r>
        <w:t xml:space="preserve"> der er kommet noget godt ud af. Oplevelsen kan være relateret til en eksamen, en opgave, et studiejob, en idrætsoplevelse, fritid, familie eller andet. Det vigtige er ikke</w:t>
      </w:r>
      <w:r w:rsidR="00B550AD">
        <w:t>,</w:t>
      </w:r>
      <w:r>
        <w:t xml:space="preserve"> hvor du finder din oplevelse, men at det var en succes. </w:t>
      </w:r>
    </w:p>
    <w:p w14:paraId="6136FA66" w14:textId="77777777" w:rsidR="007C7781" w:rsidRDefault="007C7781" w:rsidP="007C7781">
      <w:pPr>
        <w:tabs>
          <w:tab w:val="left" w:pos="10915"/>
        </w:tabs>
        <w:ind w:right="496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da-DK"/>
        </w:rPr>
        <w:lastRenderedPageBreak/>
        <w:drawing>
          <wp:inline distT="0" distB="0" distL="0" distR="0" wp14:anchorId="4404247D" wp14:editId="6DF8A041">
            <wp:extent cx="1781175" cy="17811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oplevelsen bille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50" cy="17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144B" w14:textId="77777777" w:rsidR="007C7781" w:rsidRDefault="007C7781" w:rsidP="007C7781">
      <w:pPr>
        <w:pStyle w:val="Overskrift2"/>
      </w:pPr>
      <w:r>
        <w:t>Øvelsesguide</w:t>
      </w:r>
    </w:p>
    <w:p w14:paraId="16E430AE" w14:textId="77777777" w:rsidR="007C7781" w:rsidRPr="0078570D" w:rsidRDefault="007C7781" w:rsidP="007C7781">
      <w:pPr>
        <w:pStyle w:val="Listeafsnit"/>
        <w:numPr>
          <w:ilvl w:val="0"/>
          <w:numId w:val="1"/>
        </w:numPr>
        <w:rPr>
          <w:sz w:val="24"/>
          <w:szCs w:val="16"/>
        </w:rPr>
      </w:pPr>
      <w:r w:rsidRPr="0078570D">
        <w:rPr>
          <w:sz w:val="24"/>
          <w:szCs w:val="16"/>
        </w:rPr>
        <w:t>Find en makker, noget at skrive med og på. Sæt jer et sted hvor der er ro og hvor i kan tale i fred. Den ene af jer fungerer som historiefortæller og den anden som interviewer</w:t>
      </w:r>
      <w:r>
        <w:rPr>
          <w:sz w:val="24"/>
          <w:szCs w:val="16"/>
        </w:rPr>
        <w:t xml:space="preserve">. Intervieweren </w:t>
      </w:r>
      <w:r w:rsidRPr="0078570D">
        <w:rPr>
          <w:sz w:val="24"/>
          <w:szCs w:val="16"/>
        </w:rPr>
        <w:t>stiller uddybende og nysgerrige spørgsmål og sørger for at notere væsentlige pointer undervejs – fordel rollerne!</w:t>
      </w:r>
    </w:p>
    <w:p w14:paraId="4B2C35DD" w14:textId="77777777" w:rsidR="007C7781" w:rsidRPr="0078570D" w:rsidRDefault="007C7781" w:rsidP="007C7781">
      <w:pPr>
        <w:pStyle w:val="Listeafsnit"/>
        <w:numPr>
          <w:ilvl w:val="0"/>
          <w:numId w:val="1"/>
        </w:numPr>
        <w:rPr>
          <w:sz w:val="24"/>
          <w:szCs w:val="16"/>
        </w:rPr>
      </w:pPr>
      <w:r w:rsidRPr="0078570D">
        <w:rPr>
          <w:sz w:val="24"/>
          <w:szCs w:val="16"/>
        </w:rPr>
        <w:t xml:space="preserve">Historiefortælleren går nu i gang med at fortælle sin succeshistorie. Det er vigtigt at historien fortælles meget detaljeret </w:t>
      </w:r>
      <w:r w:rsidR="00435CB3">
        <w:rPr>
          <w:sz w:val="24"/>
          <w:szCs w:val="16"/>
        </w:rPr>
        <w:t>så Intervieweren har mulighed for at</w:t>
      </w:r>
      <w:r w:rsidRPr="0078570D">
        <w:rPr>
          <w:sz w:val="24"/>
          <w:szCs w:val="16"/>
        </w:rPr>
        <w:t xml:space="preserve"> </w:t>
      </w:r>
      <w:r w:rsidR="00435CB3">
        <w:rPr>
          <w:sz w:val="24"/>
          <w:szCs w:val="16"/>
        </w:rPr>
        <w:t>skrive</w:t>
      </w:r>
      <w:r w:rsidRPr="0078570D">
        <w:rPr>
          <w:sz w:val="24"/>
          <w:szCs w:val="16"/>
        </w:rPr>
        <w:t xml:space="preserve"> mange ord </w:t>
      </w:r>
      <w:r w:rsidR="00435CB3">
        <w:rPr>
          <w:sz w:val="24"/>
          <w:szCs w:val="16"/>
        </w:rPr>
        <w:t>ned</w:t>
      </w:r>
      <w:r w:rsidRPr="0078570D">
        <w:rPr>
          <w:sz w:val="24"/>
          <w:szCs w:val="16"/>
        </w:rPr>
        <w:t>. Ansvaret for dette ligger både os historiefortælleren og hos intervieweren. Undervejs i samtalen noterer intervieweren nøgleord, ”guldklumper”, interessante handlinger eller a</w:t>
      </w:r>
      <w:r>
        <w:rPr>
          <w:sz w:val="24"/>
          <w:szCs w:val="16"/>
        </w:rPr>
        <w:t>ssociationer, der siger noget om</w:t>
      </w:r>
      <w:r w:rsidRPr="0078570D">
        <w:rPr>
          <w:sz w:val="24"/>
          <w:szCs w:val="16"/>
        </w:rPr>
        <w:t xml:space="preserve"> historiefortælleren. Disse ord bliver udgangspunktet for at beskrive historiefortællerens kompetencer.</w:t>
      </w:r>
    </w:p>
    <w:p w14:paraId="7A1B3107" w14:textId="77777777" w:rsidR="007C7781" w:rsidRDefault="007C7781" w:rsidP="007C7781">
      <w:pPr>
        <w:pStyle w:val="Listeafsnit"/>
        <w:numPr>
          <w:ilvl w:val="0"/>
          <w:numId w:val="1"/>
        </w:numPr>
        <w:rPr>
          <w:sz w:val="24"/>
          <w:szCs w:val="16"/>
        </w:rPr>
      </w:pPr>
      <w:r w:rsidRPr="0078570D">
        <w:rPr>
          <w:sz w:val="24"/>
          <w:szCs w:val="16"/>
        </w:rPr>
        <w:t xml:space="preserve">Når historien er slut, afslører intervieweren hvilke </w:t>
      </w:r>
      <w:r>
        <w:rPr>
          <w:sz w:val="24"/>
          <w:szCs w:val="16"/>
        </w:rPr>
        <w:t xml:space="preserve">ord </w:t>
      </w:r>
      <w:r w:rsidR="00B550AD">
        <w:rPr>
          <w:sz w:val="24"/>
          <w:szCs w:val="16"/>
        </w:rPr>
        <w:t>han har noteret sig og I</w:t>
      </w:r>
      <w:r w:rsidRPr="0078570D">
        <w:rPr>
          <w:sz w:val="24"/>
          <w:szCs w:val="16"/>
        </w:rPr>
        <w:t xml:space="preserve"> tager nu en snak om</w:t>
      </w:r>
      <w:r w:rsidR="00B550AD">
        <w:rPr>
          <w:sz w:val="24"/>
          <w:szCs w:val="16"/>
        </w:rPr>
        <w:t>,</w:t>
      </w:r>
      <w:r w:rsidRPr="0078570D">
        <w:rPr>
          <w:sz w:val="24"/>
          <w:szCs w:val="16"/>
        </w:rPr>
        <w:t xml:space="preserve"> hvordan disse ord kan bruges i en jobsøgningssituation. Brug fx skemaet på bagsiden til at afdække</w:t>
      </w:r>
      <w:r w:rsidR="00B550AD">
        <w:rPr>
          <w:sz w:val="24"/>
          <w:szCs w:val="16"/>
        </w:rPr>
        <w:t>,</w:t>
      </w:r>
      <w:r w:rsidRPr="0078570D">
        <w:rPr>
          <w:sz w:val="24"/>
          <w:szCs w:val="16"/>
        </w:rPr>
        <w:t xml:space="preserve"> hvordan hver enkelt kompetence kan udnyttes</w:t>
      </w:r>
      <w:r>
        <w:rPr>
          <w:sz w:val="24"/>
          <w:szCs w:val="16"/>
        </w:rPr>
        <w:t>.</w:t>
      </w:r>
    </w:p>
    <w:p w14:paraId="0034E045" w14:textId="77777777" w:rsidR="000538C8" w:rsidRPr="000538C8" w:rsidRDefault="000538C8" w:rsidP="000538C8">
      <w:pPr>
        <w:rPr>
          <w:sz w:val="24"/>
          <w:szCs w:val="16"/>
        </w:rPr>
      </w:pPr>
    </w:p>
    <w:tbl>
      <w:tblPr>
        <w:tblStyle w:val="Tabel-Gitter"/>
        <w:tblW w:w="4608" w:type="pct"/>
        <w:tblLook w:val="04A0" w:firstRow="1" w:lastRow="0" w:firstColumn="1" w:lastColumn="0" w:noHBand="0" w:noVBand="1"/>
      </w:tblPr>
      <w:tblGrid>
        <w:gridCol w:w="4707"/>
        <w:gridCol w:w="7666"/>
      </w:tblGrid>
      <w:tr w:rsidR="000538C8" w:rsidRPr="0078570D" w14:paraId="1197B942" w14:textId="77777777" w:rsidTr="000538C8">
        <w:tc>
          <w:tcPr>
            <w:tcW w:w="1902" w:type="pct"/>
          </w:tcPr>
          <w:p w14:paraId="078C5AF6" w14:textId="77777777" w:rsidR="000538C8" w:rsidRPr="00F30373" w:rsidRDefault="000538C8" w:rsidP="00F30373">
            <w:pPr>
              <w:rPr>
                <w:b/>
                <w:sz w:val="24"/>
                <w:szCs w:val="16"/>
              </w:rPr>
            </w:pPr>
            <w:r w:rsidRPr="00F30373">
              <w:rPr>
                <w:b/>
                <w:sz w:val="24"/>
                <w:szCs w:val="16"/>
              </w:rPr>
              <w:t>Kompetence</w:t>
            </w:r>
          </w:p>
          <w:p w14:paraId="2E8A4312" w14:textId="77777777" w:rsidR="000538C8" w:rsidRPr="00F30373" w:rsidRDefault="000538C8" w:rsidP="00F30373">
            <w:pPr>
              <w:rPr>
                <w:sz w:val="24"/>
                <w:szCs w:val="16"/>
              </w:rPr>
            </w:pPr>
            <w:r w:rsidRPr="00F30373">
              <w:rPr>
                <w:sz w:val="24"/>
                <w:szCs w:val="16"/>
              </w:rPr>
              <w:t>De ord som intervieweren har noteret sig</w:t>
            </w:r>
            <w:r w:rsidRPr="00F30373">
              <w:rPr>
                <w:b/>
                <w:sz w:val="24"/>
                <w:szCs w:val="16"/>
              </w:rPr>
              <w:t xml:space="preserve"> </w:t>
            </w:r>
          </w:p>
          <w:p w14:paraId="093BD822" w14:textId="77777777" w:rsidR="000538C8" w:rsidRPr="00F30373" w:rsidRDefault="000538C8" w:rsidP="00F30373">
            <w:pPr>
              <w:ind w:left="420"/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57DF4955" w14:textId="77777777" w:rsidR="000538C8" w:rsidRPr="0078570D" w:rsidRDefault="000538C8" w:rsidP="000538C8">
            <w:pPr>
              <w:rPr>
                <w:b/>
                <w:sz w:val="24"/>
                <w:szCs w:val="16"/>
              </w:rPr>
            </w:pPr>
            <w:r w:rsidRPr="0078570D">
              <w:rPr>
                <w:b/>
                <w:sz w:val="24"/>
                <w:szCs w:val="16"/>
              </w:rPr>
              <w:t xml:space="preserve">Beskrivelse: </w:t>
            </w:r>
          </w:p>
          <w:p w14:paraId="2C0D342F" w14:textId="77777777" w:rsidR="000538C8" w:rsidRPr="0078570D" w:rsidRDefault="000538C8" w:rsidP="000538C8">
            <w:pPr>
              <w:rPr>
                <w:sz w:val="24"/>
                <w:szCs w:val="16"/>
              </w:rPr>
            </w:pPr>
            <w:r w:rsidRPr="0078570D">
              <w:rPr>
                <w:sz w:val="24"/>
                <w:szCs w:val="16"/>
              </w:rPr>
              <w:t xml:space="preserve">Her beskriver </w:t>
            </w:r>
            <w:r>
              <w:rPr>
                <w:sz w:val="24"/>
                <w:szCs w:val="16"/>
              </w:rPr>
              <w:t>I,</w:t>
            </w:r>
            <w:r w:rsidRPr="0078570D">
              <w:rPr>
                <w:sz w:val="24"/>
                <w:szCs w:val="16"/>
              </w:rPr>
              <w:t xml:space="preserve"> I hvilke</w:t>
            </w:r>
            <w:r>
              <w:rPr>
                <w:sz w:val="24"/>
                <w:szCs w:val="16"/>
              </w:rPr>
              <w:t xml:space="preserve"> andre</w:t>
            </w:r>
            <w:r w:rsidRPr="0078570D">
              <w:rPr>
                <w:sz w:val="24"/>
                <w:szCs w:val="16"/>
              </w:rPr>
              <w:t xml:space="preserve"> situationer </w:t>
            </w:r>
            <w:r>
              <w:rPr>
                <w:sz w:val="24"/>
                <w:szCs w:val="16"/>
              </w:rPr>
              <w:t>denne kompetence kan bruges</w:t>
            </w:r>
            <w:r w:rsidRPr="0078570D">
              <w:rPr>
                <w:sz w:val="24"/>
                <w:szCs w:val="16"/>
              </w:rPr>
              <w:t>?</w:t>
            </w:r>
          </w:p>
        </w:tc>
      </w:tr>
      <w:tr w:rsidR="000538C8" w:rsidRPr="007C7781" w14:paraId="7BFC2E30" w14:textId="77777777" w:rsidTr="000538C8">
        <w:trPr>
          <w:trHeight w:val="1079"/>
        </w:trPr>
        <w:tc>
          <w:tcPr>
            <w:tcW w:w="1902" w:type="pct"/>
          </w:tcPr>
          <w:p w14:paraId="04AAC5B6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  <w:p w14:paraId="266F9B74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  <w:p w14:paraId="22AB7DCB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2805A79E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</w:tr>
      <w:tr w:rsidR="000538C8" w:rsidRPr="007C7781" w14:paraId="5B87F3D7" w14:textId="77777777" w:rsidTr="000538C8">
        <w:trPr>
          <w:trHeight w:val="1015"/>
        </w:trPr>
        <w:tc>
          <w:tcPr>
            <w:tcW w:w="1902" w:type="pct"/>
          </w:tcPr>
          <w:p w14:paraId="1484E6D2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4997B1AC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</w:tr>
      <w:tr w:rsidR="000538C8" w:rsidRPr="007C7781" w14:paraId="68A65BDA" w14:textId="77777777" w:rsidTr="000538C8">
        <w:trPr>
          <w:trHeight w:val="539"/>
        </w:trPr>
        <w:tc>
          <w:tcPr>
            <w:tcW w:w="1902" w:type="pct"/>
          </w:tcPr>
          <w:p w14:paraId="09A26F94" w14:textId="77777777" w:rsidR="000538C8" w:rsidRDefault="000538C8" w:rsidP="00782CBC">
            <w:pPr>
              <w:rPr>
                <w:sz w:val="24"/>
                <w:szCs w:val="16"/>
              </w:rPr>
            </w:pPr>
          </w:p>
          <w:p w14:paraId="379F2688" w14:textId="77777777" w:rsidR="000538C8" w:rsidRDefault="000538C8" w:rsidP="00782CBC">
            <w:pPr>
              <w:rPr>
                <w:sz w:val="24"/>
                <w:szCs w:val="16"/>
              </w:rPr>
            </w:pPr>
          </w:p>
          <w:p w14:paraId="6F95F7DC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6752A58F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</w:tr>
      <w:tr w:rsidR="000538C8" w:rsidRPr="007C7781" w14:paraId="0F31303B" w14:textId="77777777" w:rsidTr="000538C8">
        <w:tc>
          <w:tcPr>
            <w:tcW w:w="1902" w:type="pct"/>
          </w:tcPr>
          <w:p w14:paraId="511EB288" w14:textId="77777777" w:rsidR="000538C8" w:rsidRDefault="000538C8" w:rsidP="00782CBC">
            <w:pPr>
              <w:rPr>
                <w:sz w:val="24"/>
                <w:szCs w:val="16"/>
              </w:rPr>
            </w:pPr>
          </w:p>
          <w:p w14:paraId="21B3DA4F" w14:textId="77777777" w:rsidR="000538C8" w:rsidRDefault="000538C8" w:rsidP="00782CBC">
            <w:pPr>
              <w:rPr>
                <w:sz w:val="24"/>
                <w:szCs w:val="16"/>
              </w:rPr>
            </w:pPr>
          </w:p>
          <w:p w14:paraId="0BCAC672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7D2BAA4C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</w:tr>
      <w:tr w:rsidR="000538C8" w:rsidRPr="007C7781" w14:paraId="42558D15" w14:textId="77777777" w:rsidTr="000538C8">
        <w:tc>
          <w:tcPr>
            <w:tcW w:w="1902" w:type="pct"/>
          </w:tcPr>
          <w:p w14:paraId="6D13FC68" w14:textId="77777777" w:rsidR="000538C8" w:rsidRDefault="000538C8" w:rsidP="00782CBC">
            <w:pPr>
              <w:rPr>
                <w:sz w:val="24"/>
                <w:szCs w:val="16"/>
              </w:rPr>
            </w:pPr>
            <w:bookmarkStart w:id="1" w:name="_Hlk15459838"/>
          </w:p>
          <w:p w14:paraId="32C70BBB" w14:textId="77777777" w:rsidR="000538C8" w:rsidRDefault="000538C8" w:rsidP="00782CBC">
            <w:pPr>
              <w:rPr>
                <w:sz w:val="24"/>
                <w:szCs w:val="16"/>
              </w:rPr>
            </w:pPr>
          </w:p>
          <w:p w14:paraId="1919D8C8" w14:textId="77777777" w:rsidR="000538C8" w:rsidRDefault="000538C8" w:rsidP="00782CBC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0F9E2DF3" w14:textId="77777777" w:rsidR="000538C8" w:rsidRPr="007C7781" w:rsidRDefault="000538C8" w:rsidP="00782CBC">
            <w:pPr>
              <w:rPr>
                <w:sz w:val="24"/>
                <w:szCs w:val="16"/>
              </w:rPr>
            </w:pPr>
          </w:p>
        </w:tc>
      </w:tr>
      <w:bookmarkEnd w:id="1"/>
      <w:tr w:rsidR="000538C8" w:rsidRPr="007C7781" w14:paraId="08E883CE" w14:textId="77777777" w:rsidTr="000538C8">
        <w:trPr>
          <w:trHeight w:val="70"/>
        </w:trPr>
        <w:tc>
          <w:tcPr>
            <w:tcW w:w="1902" w:type="pct"/>
          </w:tcPr>
          <w:p w14:paraId="6712353E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40918AD4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2A87B1CC" w14:textId="77777777" w:rsidR="000538C8" w:rsidRDefault="000538C8" w:rsidP="00EB2306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32BC9D3A" w14:textId="77777777" w:rsidR="000538C8" w:rsidRPr="007C7781" w:rsidRDefault="000538C8" w:rsidP="00EB2306">
            <w:pPr>
              <w:rPr>
                <w:sz w:val="24"/>
                <w:szCs w:val="16"/>
              </w:rPr>
            </w:pPr>
          </w:p>
        </w:tc>
      </w:tr>
      <w:tr w:rsidR="000538C8" w:rsidRPr="007C7781" w14:paraId="4CC7CED4" w14:textId="77777777" w:rsidTr="00EB2306">
        <w:trPr>
          <w:trHeight w:val="539"/>
        </w:trPr>
        <w:tc>
          <w:tcPr>
            <w:tcW w:w="1902" w:type="pct"/>
          </w:tcPr>
          <w:p w14:paraId="5B151F1F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5457C552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4639CB8E" w14:textId="77777777" w:rsidR="000538C8" w:rsidRPr="007C7781" w:rsidRDefault="000538C8" w:rsidP="00EB2306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3242EE96" w14:textId="77777777" w:rsidR="000538C8" w:rsidRPr="007C7781" w:rsidRDefault="000538C8" w:rsidP="00EB2306">
            <w:pPr>
              <w:rPr>
                <w:sz w:val="24"/>
                <w:szCs w:val="16"/>
              </w:rPr>
            </w:pPr>
          </w:p>
        </w:tc>
      </w:tr>
      <w:tr w:rsidR="000538C8" w:rsidRPr="007C7781" w14:paraId="3DA66028" w14:textId="77777777" w:rsidTr="00EB2306">
        <w:tc>
          <w:tcPr>
            <w:tcW w:w="1902" w:type="pct"/>
          </w:tcPr>
          <w:p w14:paraId="285668CB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15FEFC0E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7218636C" w14:textId="77777777" w:rsidR="000538C8" w:rsidRPr="007C7781" w:rsidRDefault="000538C8" w:rsidP="00EB2306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2CAB2B3C" w14:textId="77777777" w:rsidR="000538C8" w:rsidRPr="007C7781" w:rsidRDefault="000538C8" w:rsidP="00EB2306">
            <w:pPr>
              <w:rPr>
                <w:sz w:val="24"/>
                <w:szCs w:val="16"/>
              </w:rPr>
            </w:pPr>
          </w:p>
        </w:tc>
      </w:tr>
      <w:tr w:rsidR="000538C8" w:rsidRPr="007C7781" w14:paraId="5D8B15F9" w14:textId="77777777" w:rsidTr="00EB2306">
        <w:tc>
          <w:tcPr>
            <w:tcW w:w="1902" w:type="pct"/>
          </w:tcPr>
          <w:p w14:paraId="32C3C3B0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1B36F2A8" w14:textId="77777777" w:rsidR="000538C8" w:rsidRDefault="000538C8" w:rsidP="00EB2306">
            <w:pPr>
              <w:rPr>
                <w:sz w:val="24"/>
                <w:szCs w:val="16"/>
              </w:rPr>
            </w:pPr>
          </w:p>
          <w:p w14:paraId="2607E7F5" w14:textId="77777777" w:rsidR="000538C8" w:rsidRDefault="000538C8" w:rsidP="00EB2306">
            <w:pPr>
              <w:rPr>
                <w:sz w:val="24"/>
                <w:szCs w:val="16"/>
              </w:rPr>
            </w:pPr>
          </w:p>
        </w:tc>
        <w:tc>
          <w:tcPr>
            <w:tcW w:w="3098" w:type="pct"/>
          </w:tcPr>
          <w:p w14:paraId="185A5C13" w14:textId="77777777" w:rsidR="000538C8" w:rsidRPr="007C7781" w:rsidRDefault="000538C8" w:rsidP="00EB2306">
            <w:pPr>
              <w:rPr>
                <w:sz w:val="24"/>
                <w:szCs w:val="16"/>
              </w:rPr>
            </w:pPr>
          </w:p>
        </w:tc>
      </w:tr>
    </w:tbl>
    <w:p w14:paraId="3BD6DFD4" w14:textId="77777777" w:rsidR="00F34FE2" w:rsidRPr="009414E1" w:rsidRDefault="00F34FE2">
      <w:pPr>
        <w:rPr>
          <w:sz w:val="12"/>
        </w:rPr>
      </w:pPr>
    </w:p>
    <w:sectPr w:rsidR="00F34FE2" w:rsidRPr="009414E1" w:rsidSect="00B550AD"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97D3" w14:textId="77777777" w:rsidR="00A36DEC" w:rsidRDefault="00A36DEC" w:rsidP="00A36DEC">
      <w:pPr>
        <w:spacing w:after="0" w:line="240" w:lineRule="auto"/>
      </w:pPr>
      <w:r>
        <w:separator/>
      </w:r>
    </w:p>
  </w:endnote>
  <w:endnote w:type="continuationSeparator" w:id="0">
    <w:p w14:paraId="51E823B0" w14:textId="77777777" w:rsidR="00A36DEC" w:rsidRDefault="00A36DEC" w:rsidP="00A3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8ECB" w14:textId="77777777" w:rsidR="00A36DEC" w:rsidRDefault="00A36DEC">
    <w:pPr>
      <w:pStyle w:val="Sidefod"/>
    </w:pPr>
    <w:r>
      <w:t>SDU RIO, Careers and Employability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BD50" w14:textId="77777777" w:rsidR="00A36DEC" w:rsidRDefault="00A36DEC" w:rsidP="00A36DEC">
      <w:pPr>
        <w:spacing w:after="0" w:line="240" w:lineRule="auto"/>
      </w:pPr>
      <w:r>
        <w:separator/>
      </w:r>
    </w:p>
  </w:footnote>
  <w:footnote w:type="continuationSeparator" w:id="0">
    <w:p w14:paraId="7AB18F69" w14:textId="77777777" w:rsidR="00A36DEC" w:rsidRDefault="00A36DEC" w:rsidP="00A3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2082"/>
    <w:multiLevelType w:val="hybridMultilevel"/>
    <w:tmpl w:val="C99889B2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MDI1MTEyMrY0NDNW0lEKTi0uzszPAykwrAUAWaQX9SwAAAA="/>
  </w:docVars>
  <w:rsids>
    <w:rsidRoot w:val="007C7781"/>
    <w:rsid w:val="000538C8"/>
    <w:rsid w:val="00435CB3"/>
    <w:rsid w:val="007C7781"/>
    <w:rsid w:val="009414E1"/>
    <w:rsid w:val="00A36DEC"/>
    <w:rsid w:val="00AD1868"/>
    <w:rsid w:val="00B550AD"/>
    <w:rsid w:val="00B81A87"/>
    <w:rsid w:val="00BF7C38"/>
    <w:rsid w:val="00F137BB"/>
    <w:rsid w:val="00F30373"/>
    <w:rsid w:val="00F34FE2"/>
    <w:rsid w:val="00F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4DE"/>
  <w15:docId w15:val="{275C3A86-F3AD-44B5-9F40-F93DA77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78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7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C7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7C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C778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7781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C77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7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A36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6DEC"/>
  </w:style>
  <w:style w:type="paragraph" w:styleId="Sidefod">
    <w:name w:val="footer"/>
    <w:basedOn w:val="Normal"/>
    <w:link w:val="SidefodTegn"/>
    <w:uiPriority w:val="99"/>
    <w:unhideWhenUsed/>
    <w:rsid w:val="00A36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0CDFD3881E646B3968088B04960AC" ma:contentTypeVersion="4" ma:contentTypeDescription="Opret et nyt dokument." ma:contentTypeScope="" ma:versionID="6d20cbcfa722e0e038e539f7514aa7e0">
  <xsd:schema xmlns:xsd="http://www.w3.org/2001/XMLSchema" xmlns:xs="http://www.w3.org/2001/XMLSchema" xmlns:p="http://schemas.microsoft.com/office/2006/metadata/properties" xmlns:ns2="41596349-a03c-4c67-be24-5b8f393ed605" xmlns:ns3="0dfe2506-8975-434b-9697-634d88d6f49f" targetNamespace="http://schemas.microsoft.com/office/2006/metadata/properties" ma:root="true" ma:fieldsID="a0790ae629f1387d14b1ce15f37f45fc" ns2:_="" ns3:_="">
    <xsd:import namespace="41596349-a03c-4c67-be24-5b8f393ed605"/>
    <xsd:import namespace="0dfe2506-8975-434b-9697-634d88d6f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96349-a03c-4c67-be24-5b8f393e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2506-8975-434b-9697-634d88d6f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2D95C-69A0-43FF-8580-370169268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96349-a03c-4c67-be24-5b8f393ed605"/>
    <ds:schemaRef ds:uri="0dfe2506-8975-434b-9697-634d88d6f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3982C-2A95-48C8-ADF1-7308E40226E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1596349-a03c-4c67-be24-5b8f393ed605"/>
    <ds:schemaRef ds:uri="http://purl.org/dc/elements/1.1/"/>
    <ds:schemaRef ds:uri="http://schemas.microsoft.com/office/2006/metadata/properties"/>
    <ds:schemaRef ds:uri="http://schemas.microsoft.com/office/infopath/2007/PartnerControls"/>
    <ds:schemaRef ds:uri="0dfe2506-8975-434b-9697-634d88d6f49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1D42CC-7216-4B65-B1B9-FF10D5093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Fahnøe Munksgaard</dc:creator>
  <cp:lastModifiedBy>Pernille Stenkil Hansen</cp:lastModifiedBy>
  <cp:revision>2</cp:revision>
  <cp:lastPrinted>2014-11-11T07:13:00Z</cp:lastPrinted>
  <dcterms:created xsi:type="dcterms:W3CDTF">2019-11-10T23:37:00Z</dcterms:created>
  <dcterms:modified xsi:type="dcterms:W3CDTF">2019-11-10T23:37:00Z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0x0101003250CDFD3881E646B3968088B04960AC</vt:lpwstr>
  </property>
</Properties>
</file>